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76" w:rsidRDefault="00777176" w:rsidP="00E8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76">
        <w:rPr>
          <w:rFonts w:ascii="Times New Roman" w:hAnsi="Times New Roman" w:cs="Times New Roman"/>
          <w:sz w:val="28"/>
          <w:szCs w:val="28"/>
        </w:rPr>
        <w:t>Перечень документов по раскрытию информации о технологическом присоединении к электрическим сетям Акционерного Общества «Северский Трубный Завод»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стандартов</w:t>
      </w:r>
      <w:r w:rsidR="00E87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РФ от 21.01.2004 г. № 24 «Стандарты раскрытия информации субъектами оптового и розничных рынков электрической энергии»</w:t>
      </w: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1271"/>
        <w:gridCol w:w="6095"/>
        <w:gridCol w:w="2268"/>
      </w:tblGrid>
      <w:tr w:rsidR="004624E3" w:rsidTr="00E87D56">
        <w:tc>
          <w:tcPr>
            <w:tcW w:w="1271" w:type="dxa"/>
            <w:vMerge w:val="restart"/>
            <w:vAlign w:val="center"/>
          </w:tcPr>
          <w:p w:rsidR="004624E3" w:rsidRPr="004624E3" w:rsidRDefault="00E87D56" w:rsidP="0046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пп.А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ind w:right="-399"/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Не осуществляли</w:t>
            </w:r>
          </w:p>
          <w:p w:rsidR="004624E3" w:rsidRPr="004624E3" w:rsidRDefault="004624E3" w:rsidP="004624E3">
            <w:pPr>
              <w:ind w:left="-101" w:right="-116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24E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624E3" w:rsidTr="00E87D56">
        <w:tc>
          <w:tcPr>
            <w:tcW w:w="1271" w:type="dxa"/>
            <w:vMerge/>
          </w:tcPr>
          <w:p w:rsidR="004624E3" w:rsidRPr="004624E3" w:rsidRDefault="004624E3" w:rsidP="0046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расходах на</w:t>
            </w:r>
            <w:bookmarkStart w:id="0" w:name="_GoBack"/>
            <w:bookmarkEnd w:id="0"/>
            <w:r w:rsidRPr="004624E3">
              <w:rPr>
                <w:rFonts w:ascii="Times New Roman" w:hAnsi="Times New Roman" w:cs="Times New Roman"/>
              </w:rPr>
              <w:t xml:space="preserve"> подготовку и выдачу сетевой организации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системах).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таблица № 1</w:t>
            </w:r>
          </w:p>
        </w:tc>
      </w:tr>
      <w:tr w:rsidR="004624E3" w:rsidTr="00E87D56">
        <w:tc>
          <w:tcPr>
            <w:tcW w:w="1271" w:type="dxa"/>
            <w:vMerge/>
          </w:tcPr>
          <w:p w:rsidR="004624E3" w:rsidRPr="004624E3" w:rsidRDefault="004624E3" w:rsidP="0046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24E3" w:rsidRPr="004624E3" w:rsidRDefault="004624E3" w:rsidP="00462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расходах </w:t>
            </w:r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 xml:space="preserve">на проверку сетевой организацией выполнения заявителем технических условий в соответствии с </w:t>
            </w:r>
            <w:hyperlink r:id="rId4" w:history="1">
              <w:r w:rsidRPr="004624E3">
                <w:rPr>
                  <w:rFonts w:ascii="Times New Roman" w:eastAsiaTheme="minorEastAsia" w:hAnsi="Times New Roman" w:cs="Times New Roman"/>
                  <w:lang w:eastAsia="ru-RU"/>
                </w:rPr>
                <w:t>разделом IX</w:t>
              </w:r>
            </w:hyperlink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 технологического присоединения, а также</w:t>
            </w:r>
            <w:r w:rsidRPr="004624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>в соответствии с методическими указаниями по определению размера платы за технологическое присоединение к электрическим сетям, утвержденными Феде</w:t>
            </w:r>
            <w:r w:rsidRPr="004624E3">
              <w:rPr>
                <w:rFonts w:ascii="Times New Roman" w:eastAsiaTheme="minorEastAsia" w:hAnsi="Times New Roman" w:cs="Times New Roman"/>
                <w:lang w:eastAsia="ru-RU"/>
              </w:rPr>
              <w:t>ральной антимонопольной службой.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таблица № 2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пп.Б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«Решение органа исполнительной власти»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пп.В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фактических средних данных о присоединенных объемах максимальной мощности за 3 предыдущих года по каждому мероприятию по форме согласно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2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2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пп.Г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фактических средних данных о длине линий электропередачи и об объемах максимальной мощности построенных объектов за 3 предыдущих года по каждому мероприятию по форме согласно </w:t>
            </w:r>
            <w:hyperlink w:anchor="sub_3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3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3.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пп.Д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об осуществлении технологического присоединения по договорам, заключенным за текущий год, по форме согласно </w:t>
            </w:r>
            <w:hyperlink w:anchor="sub_4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4</w:t>
              </w:r>
            </w:hyperlink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4.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пп.Е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поданных заявках на технологическое присоединение за текущий год по форме согласно </w:t>
            </w:r>
            <w:hyperlink w:anchor="sub_5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5</w:t>
              </w:r>
            </w:hyperlink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5.</w:t>
            </w:r>
          </w:p>
        </w:tc>
      </w:tr>
    </w:tbl>
    <w:p w:rsidR="00777176" w:rsidRDefault="00777176">
      <w:pPr>
        <w:rPr>
          <w:rFonts w:ascii="Times New Roman" w:hAnsi="Times New Roman" w:cs="Times New Roman"/>
          <w:sz w:val="28"/>
          <w:szCs w:val="28"/>
        </w:rPr>
      </w:pPr>
    </w:p>
    <w:p w:rsidR="00AB7FCB" w:rsidRPr="00777176" w:rsidRDefault="00777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FCB" w:rsidRPr="0077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76"/>
    <w:rsid w:val="004624E3"/>
    <w:rsid w:val="00777176"/>
    <w:rsid w:val="00A0079C"/>
    <w:rsid w:val="00AB7FCB"/>
    <w:rsid w:val="00E87D56"/>
    <w:rsid w:val="00E93F3B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9558-E24C-48C6-A73D-90F46E2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624E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187740/4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Немешаева Яна Сергеевна</dc:creator>
  <cp:keywords/>
  <dc:description/>
  <cp:lastModifiedBy>Немешаева Яна Сергеевна</cp:lastModifiedBy>
  <cp:revision>2</cp:revision>
  <dcterms:created xsi:type="dcterms:W3CDTF">2019-10-21T10:52:00Z</dcterms:created>
  <dcterms:modified xsi:type="dcterms:W3CDTF">2020-10-21T11:33:00Z</dcterms:modified>
</cp:coreProperties>
</file>