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26" w:rsidRPr="00E35C1B" w:rsidRDefault="00987B10">
      <w:pPr>
        <w:pStyle w:val="1"/>
        <w:rPr>
          <w:rFonts w:ascii="Times New Roman" w:hAnsi="Times New Roman" w:cs="Times New Roman"/>
        </w:rPr>
      </w:pPr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9F35B6">
        <w:rPr>
          <w:rFonts w:ascii="Times New Roman" w:hAnsi="Times New Roman" w:cs="Times New Roman"/>
          <w:i/>
          <w:color w:val="C00000"/>
        </w:rPr>
        <w:t>4</w:t>
      </w:r>
      <w:bookmarkStart w:id="0" w:name="_GoBack"/>
      <w:bookmarkEnd w:id="0"/>
      <w:r w:rsidRPr="00263822">
        <w:rPr>
          <w:rFonts w:ascii="Times New Roman" w:hAnsi="Times New Roman" w:cs="Times New Roman"/>
          <w:i/>
          <w:color w:val="C00000"/>
        </w:rPr>
        <w:t xml:space="preserve"> квартал 2018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751"/>
            <w:r w:rsidRPr="00E35C1B">
              <w:rPr>
                <w:rFonts w:ascii="Times New Roman" w:hAnsi="Times New Roman" w:cs="Times New Roman"/>
              </w:rPr>
              <w:t>5.1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мощности </w:t>
      </w:r>
      <w:r w:rsidR="00796258">
        <w:rPr>
          <w:rFonts w:ascii="Times New Roman" w:hAnsi="Times New Roman" w:cs="Times New Roman"/>
        </w:rPr>
        <w:t xml:space="preserve"> </w:t>
      </w:r>
      <w:r w:rsidR="00453B3A">
        <w:rPr>
          <w:rFonts w:ascii="Times New Roman" w:hAnsi="Times New Roman" w:cs="Times New Roman"/>
        </w:rPr>
        <w:t xml:space="preserve">(в </w:t>
      </w:r>
      <w:r w:rsidR="00453B3A" w:rsidRPr="00E35C1B">
        <w:rPr>
          <w:rFonts w:ascii="Times New Roman" w:hAnsi="Times New Roman" w:cs="Times New Roman"/>
        </w:rPr>
        <w:t>тыс.куб.м/сутки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7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E5" w:rsidRDefault="000303E5" w:rsidP="00E35C1B">
      <w:r>
        <w:separator/>
      </w:r>
    </w:p>
  </w:endnote>
  <w:endnote w:type="continuationSeparator" w:id="0">
    <w:p w:rsidR="000303E5" w:rsidRDefault="000303E5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5A4F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E5" w:rsidRDefault="000303E5" w:rsidP="00E35C1B">
      <w:r>
        <w:separator/>
      </w:r>
    </w:p>
  </w:footnote>
  <w:footnote w:type="continuationSeparator" w:id="0">
    <w:p w:rsidR="000303E5" w:rsidRDefault="000303E5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1B"/>
    <w:rsid w:val="000303E5"/>
    <w:rsid w:val="00072526"/>
    <w:rsid w:val="00453B3A"/>
    <w:rsid w:val="00742634"/>
    <w:rsid w:val="00796258"/>
    <w:rsid w:val="00987B10"/>
    <w:rsid w:val="009F35B6"/>
    <w:rsid w:val="00C75A4F"/>
    <w:rsid w:val="00CF61DF"/>
    <w:rsid w:val="00E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2019-01-11T08:14:00Z</dcterms:created>
  <dcterms:modified xsi:type="dcterms:W3CDTF">2019-01-11T08:14:00Z</dcterms:modified>
</cp:coreProperties>
</file>